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C8" w:rsidRDefault="00A216C8" w:rsidP="00A21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F4048"/>
          <w:sz w:val="24"/>
          <w:szCs w:val="24"/>
          <w:lang w:eastAsia="hr-HR"/>
        </w:rPr>
      </w:pPr>
      <w:r w:rsidRPr="00E010C9"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Na temelju članka 8. i 35. Zakona o lokalnoj i područnoj (regionaln</w:t>
      </w:r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 xml:space="preserve">oj) samoupravi (NN </w:t>
      </w:r>
      <w:r w:rsidRPr="00E010C9"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 xml:space="preserve"> br. 33/01, 60/01 - vjerodostojno tuma</w:t>
      </w:r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 xml:space="preserve">čenje, 129/05, 109/07, 125/08, </w:t>
      </w:r>
      <w:r w:rsidRPr="00E010C9"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36/09</w:t>
      </w:r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,150/11,144/12),  članka 28.</w:t>
      </w:r>
      <w:r w:rsidRPr="006A427A"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Statuta Općine  Baška Voda  (GL br. 10/09, 12/12, 6/13, 11/13, 2/17-</w:t>
      </w:r>
      <w:proofErr w:type="spellStart"/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proč</w:t>
      </w:r>
      <w:proofErr w:type="spellEnd"/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 xml:space="preserve">. tekst), članka 34. Poslovnika </w:t>
      </w:r>
      <w:r w:rsidRPr="00DB0EDE"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Općinsko</w:t>
      </w:r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g</w:t>
      </w:r>
      <w:r w:rsidRPr="00DB0EDE"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 xml:space="preserve"> vijeće Baška</w:t>
      </w:r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 xml:space="preserve"> Voda  (GL br. 10/09, 6/13, 11/13,2/17-</w:t>
      </w:r>
      <w:proofErr w:type="spellStart"/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proč</w:t>
      </w:r>
      <w:proofErr w:type="spellEnd"/>
      <w:r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t>. tekst), Općinsko vijeće Baška Voda na svojoj 7. sjednici  održanoj dana .. travnja 2018. godine, donosi</w:t>
      </w:r>
    </w:p>
    <w:p w:rsidR="00A216C8" w:rsidRDefault="00A216C8" w:rsidP="00A21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F4048"/>
          <w:sz w:val="24"/>
          <w:szCs w:val="24"/>
          <w:lang w:eastAsia="hr-HR"/>
        </w:rPr>
      </w:pPr>
    </w:p>
    <w:p w:rsidR="00A216C8" w:rsidRDefault="00A216C8" w:rsidP="00A21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F4048"/>
          <w:sz w:val="24"/>
          <w:szCs w:val="24"/>
          <w:lang w:eastAsia="hr-HR"/>
        </w:rPr>
      </w:pPr>
    </w:p>
    <w:p w:rsidR="00A216C8" w:rsidRPr="00172DE0" w:rsidRDefault="00A216C8" w:rsidP="00A2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 xml:space="preserve"> </w:t>
      </w:r>
      <w:r w:rsidRPr="00172DE0"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>ODLUKA</w:t>
      </w:r>
    </w:p>
    <w:p w:rsidR="00A216C8" w:rsidRDefault="00A216C8" w:rsidP="00A2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</w:pPr>
      <w:r w:rsidRPr="00172DE0"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>o</w:t>
      </w:r>
    </w:p>
    <w:p w:rsidR="00A216C8" w:rsidRDefault="00A216C8" w:rsidP="00A2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 xml:space="preserve">    </w:t>
      </w:r>
      <w:r w:rsidRPr="00172DE0"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>izmjeni i dopuni</w:t>
      </w:r>
      <w:r w:rsidRPr="00172DE0"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br/>
      </w:r>
      <w:r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 xml:space="preserve">  </w:t>
      </w:r>
      <w:r w:rsidRPr="00DB0EDE"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 xml:space="preserve">      P O S L O V N I K</w:t>
      </w:r>
      <w:r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 xml:space="preserve"> A</w:t>
      </w:r>
      <w:r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br/>
        <w:t xml:space="preserve">      </w:t>
      </w:r>
      <w:r w:rsidRPr="00DB0EDE"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  <w:t xml:space="preserve">  Općinskog vijeća Baška Voda</w:t>
      </w:r>
    </w:p>
    <w:p w:rsidR="00A216C8" w:rsidRPr="00FA3ADE" w:rsidRDefault="00A216C8" w:rsidP="00A216C8">
      <w:pPr>
        <w:shd w:val="clear" w:color="auto" w:fill="FFFFFF"/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F4048"/>
          <w:sz w:val="28"/>
          <w:szCs w:val="28"/>
          <w:lang w:eastAsia="hr-HR"/>
        </w:rPr>
      </w:pPr>
    </w:p>
    <w:p w:rsidR="00A216C8" w:rsidRPr="00172DE0" w:rsidRDefault="00A216C8" w:rsidP="00A2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F4048"/>
          <w:sz w:val="24"/>
          <w:szCs w:val="24"/>
          <w:lang w:eastAsia="hr-HR"/>
        </w:rPr>
      </w:pPr>
      <w:r w:rsidRPr="00DB0EDE">
        <w:rPr>
          <w:rFonts w:ascii="Times New Roman" w:eastAsia="Times New Roman" w:hAnsi="Times New Roman"/>
          <w:color w:val="2F4048"/>
          <w:sz w:val="24"/>
          <w:szCs w:val="24"/>
          <w:lang w:eastAsia="hr-HR"/>
        </w:rPr>
        <w:br/>
        <w:t>Članak 1.</w:t>
      </w:r>
    </w:p>
    <w:p w:rsidR="00A216C8" w:rsidRDefault="00A216C8" w:rsidP="00A21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F4048"/>
          <w:sz w:val="24"/>
          <w:szCs w:val="24"/>
          <w:lang w:eastAsia="hr-HR"/>
        </w:rPr>
      </w:pPr>
    </w:p>
    <w:p w:rsidR="00A216C8" w:rsidRPr="00AF786A" w:rsidRDefault="00A216C8" w:rsidP="00A216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786A">
        <w:rPr>
          <w:rFonts w:ascii="Times New Roman" w:eastAsia="Times New Roman" w:hAnsi="Times New Roman"/>
          <w:sz w:val="24"/>
          <w:szCs w:val="24"/>
          <w:lang w:eastAsia="hr-HR"/>
        </w:rPr>
        <w:t>U članku  57. stavak 3.  mijenja se i glasi:</w:t>
      </w:r>
    </w:p>
    <w:p w:rsidR="00A216C8" w:rsidRDefault="00A216C8" w:rsidP="00A21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F4048"/>
          <w:sz w:val="24"/>
          <w:szCs w:val="24"/>
          <w:lang w:eastAsia="hr-HR"/>
        </w:rPr>
      </w:pPr>
    </w:p>
    <w:tbl>
      <w:tblPr>
        <w:tblW w:w="9845" w:type="dxa"/>
        <w:tblCellSpacing w:w="0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662"/>
        <w:gridCol w:w="133"/>
      </w:tblGrid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ind w:left="774" w:right="95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„Proračun i godišnji izvještaj o izvršenju proračuna donose se većinom glasova svih vijećnika“.</w:t>
            </w:r>
          </w:p>
          <w:p w:rsidR="00A216C8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A216C8" w:rsidRDefault="00A216C8" w:rsidP="00C459D2">
            <w:pPr>
              <w:tabs>
                <w:tab w:val="left" w:pos="4157"/>
              </w:tabs>
              <w:spacing w:after="68" w:line="221" w:lineRule="atLeast"/>
              <w:jc w:val="both"/>
              <w:rPr>
                <w:rFonts w:ascii="Times New Roman" w:eastAsia="Times New Roman" w:hAnsi="Times New Roman"/>
                <w:color w:val="2F4048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color w:val="2F4048"/>
                <w:sz w:val="24"/>
                <w:szCs w:val="24"/>
                <w:lang w:eastAsia="hr-HR"/>
              </w:rPr>
              <w:t>Članak 2</w:t>
            </w:r>
            <w:r w:rsidRPr="00DB0EDE">
              <w:rPr>
                <w:rFonts w:ascii="Times New Roman" w:eastAsia="Times New Roman" w:hAnsi="Times New Roman"/>
                <w:color w:val="2F4048"/>
                <w:sz w:val="24"/>
                <w:szCs w:val="24"/>
                <w:lang w:eastAsia="hr-HR"/>
              </w:rPr>
              <w:t>.</w:t>
            </w:r>
          </w:p>
          <w:p w:rsidR="00A216C8" w:rsidRDefault="00A216C8" w:rsidP="00C459D2">
            <w:pPr>
              <w:tabs>
                <w:tab w:val="left" w:pos="4157"/>
              </w:tabs>
              <w:spacing w:after="68" w:line="221" w:lineRule="atLeast"/>
              <w:jc w:val="both"/>
              <w:rPr>
                <w:rFonts w:ascii="Times New Roman" w:eastAsia="Times New Roman" w:hAnsi="Times New Roman"/>
                <w:color w:val="2F4048"/>
                <w:sz w:val="24"/>
                <w:szCs w:val="24"/>
                <w:lang w:eastAsia="hr-HR"/>
              </w:rPr>
            </w:pPr>
          </w:p>
          <w:p w:rsidR="00A216C8" w:rsidRDefault="00A216C8" w:rsidP="00C459D2">
            <w:pPr>
              <w:tabs>
                <w:tab w:val="left" w:pos="4157"/>
              </w:tabs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Čanak  58. mijenja se i glasi:</w:t>
            </w:r>
          </w:p>
          <w:p w:rsidR="00A216C8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„</w:t>
            </w:r>
            <w:bookmarkStart w:id="0" w:name="_GoBack"/>
            <w:bookmarkEnd w:id="0"/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Ako općinski načeln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ik 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ne predlož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 proračun Općinskom vijeću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ili povuče prijedlog prije 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lasovanja o proračunu u cjelini,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te ne predloži novi prijedlog proračuna u roku koji omogućuje njegovo donošenje, Vlada Republike Hrvatske će na prijedlog središnjeg tijela državne uprave nadležnog za lokalnu i područnu (regionalnu) samoupravu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razriješiti općinskog načelnika i njeg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ovog zamjenika koji je izabran zajedno s njima.</w:t>
            </w:r>
          </w:p>
          <w:p w:rsidR="00A216C8" w:rsidRPr="00853CD6" w:rsidRDefault="00A216C8" w:rsidP="00C459D2">
            <w:pPr>
              <w:tabs>
                <w:tab w:val="left" w:pos="4157"/>
              </w:tabs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 slučaju iz </w:t>
            </w:r>
            <w:r w:rsidRPr="00AF7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stavka 1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ovoga članka Vlada Republike Hrvatske imenovat će povjerenika Vlade Republike Hrvatske za obavljanje poslova iz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nadležnosti općinskog načelnika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i raspisati prijevremene izbore za općinskog načelnika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sukladno posebnom zakonu.</w:t>
            </w: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Novoizabrani općinski načelni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k 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dužan je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predložiti Općinskom vijeću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proračun u roku od 45 dana od dana stupanja na dužnost.</w:t>
            </w: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Općinsko vijeće 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mora donijeti proračun iz </w:t>
            </w:r>
            <w:r w:rsidRPr="00AF7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stavka 3.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ovog članka u roku od 45 dana od dana kada ga je općinski načeln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ik  predložio Općinskom vijeću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Rješenje Vlade Republike Hrvatske o razrješenju općinskog nače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lnika 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F7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 stavka 1.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ovoga članka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stupa na snagu danom objave u „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Narodnim novinama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“.</w:t>
            </w: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Protiv rješenja Vlade Republike Hrvatske iz </w:t>
            </w:r>
            <w:r w:rsidRPr="00AF7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stavka 5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ovoga članka razriješeni općinski načeln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ik, 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može podnijeti tužbu Visokom upravnom sudu Republike Hrvatske u roku od 8 dana od dana objave rješenja.</w:t>
            </w: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Postupak rješavanja o tužbi protiv rješenja Vlade Republike Hrvatske je hitan.</w:t>
            </w: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Visoki upravni sud Republike Hrvatske odlučit će o tužbi u roku od 30 dana od dana primitka 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tužbe te svoju odluku bez odgađanja dostaviti Vladi Republike Hrvatske i razriješenom općinskom načelniku.</w:t>
            </w: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Odluka Visokog upravnog suda Repu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blike Hrvatske objavljuje se u „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Narodnim novinama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“.</w:t>
            </w: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Pr="00853CD6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Ako je tužba odbačena ili odbijena, Vlada Republike Hrvatske će raspisati prijevremen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e izbore za općinskog načelnika 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roku od 90 dana od dana objave odluke Visokog upra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vnog suda Republike Hrvatske u „Narodnim novinama“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216C8" w:rsidRPr="00853CD6" w:rsidTr="00A216C8">
        <w:trPr>
          <w:gridAfter w:val="1"/>
          <w:wAfter w:w="133" w:type="dxa"/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62" w:type="dxa"/>
            <w:shd w:val="clear" w:color="auto" w:fill="auto"/>
            <w:tcMar>
              <w:top w:w="0" w:type="dxa"/>
              <w:left w:w="0" w:type="dxa"/>
              <w:bottom w:w="0" w:type="dxa"/>
              <w:right w:w="204" w:type="dxa"/>
            </w:tcMar>
            <w:hideMark/>
          </w:tcPr>
          <w:p w:rsidR="00A216C8" w:rsidRPr="00853CD6" w:rsidRDefault="00A216C8" w:rsidP="00A216C8">
            <w:pPr>
              <w:spacing w:before="27" w:after="27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484848"/>
                <w:sz w:val="24"/>
                <w:szCs w:val="24"/>
                <w:lang w:eastAsia="hr-HR"/>
              </w:rPr>
            </w:pPr>
          </w:p>
        </w:tc>
      </w:tr>
      <w:tr w:rsidR="00A216C8" w:rsidRPr="00853CD6" w:rsidTr="00A216C8">
        <w:trPr>
          <w:tblCellSpacing w:w="0" w:type="dxa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6C8" w:rsidRPr="00853CD6" w:rsidRDefault="00A216C8" w:rsidP="00C459D2">
            <w:pPr>
              <w:spacing w:after="0" w:line="240" w:lineRule="auto"/>
              <w:ind w:left="774" w:right="95"/>
              <w:rPr>
                <w:rFonts w:ascii="Times New Roman" w:eastAsia="Times New Roman" w:hAnsi="Times New Roman"/>
                <w:b/>
                <w:bCs/>
                <w:color w:val="484848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b/>
                <w:bCs/>
                <w:color w:val="484848"/>
                <w:sz w:val="24"/>
                <w:szCs w:val="24"/>
                <w:lang w:eastAsia="hr-HR"/>
              </w:rPr>
              <w:t>Poveznice:</w:t>
            </w:r>
          </w:p>
          <w:p w:rsidR="00A216C8" w:rsidRPr="00853CD6" w:rsidRDefault="00A216C8" w:rsidP="00A216C8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  <w:hyperlink r:id="rId5" w:tooltip="Odluke Visokog upravnog suda RH" w:history="1">
              <w:r w:rsidRPr="00333F1C">
                <w:rPr>
                  <w:rFonts w:ascii="Times New Roman" w:eastAsia="Times New Roman" w:hAnsi="Times New Roman"/>
                  <w:color w:val="0051A5"/>
                  <w:sz w:val="24"/>
                  <w:szCs w:val="24"/>
                  <w:lang w:eastAsia="hr-HR"/>
                </w:rPr>
                <w:t>UPRS (2)</w:t>
              </w:r>
            </w:hyperlink>
          </w:p>
          <w:p w:rsidR="00A216C8" w:rsidRPr="00853CD6" w:rsidRDefault="00A216C8" w:rsidP="00C459D2">
            <w:pPr>
              <w:spacing w:after="0" w:line="240" w:lineRule="auto"/>
              <w:ind w:left="774" w:right="95"/>
              <w:rPr>
                <w:rFonts w:ascii="Times New Roman" w:eastAsia="Times New Roman" w:hAnsi="Times New Roman"/>
                <w:b/>
                <w:bCs/>
                <w:color w:val="484848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b/>
                <w:bCs/>
                <w:color w:val="484848"/>
                <w:sz w:val="24"/>
                <w:szCs w:val="24"/>
                <w:lang w:eastAsia="hr-HR"/>
              </w:rPr>
              <w:t>Promjene:</w:t>
            </w:r>
          </w:p>
          <w:p w:rsidR="00A216C8" w:rsidRPr="00853CD6" w:rsidRDefault="00A216C8" w:rsidP="00C459D2">
            <w:pPr>
              <w:spacing w:after="0" w:line="240" w:lineRule="auto"/>
              <w:ind w:left="774" w:right="95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  <w:hyperlink r:id="rId6" w:tooltip="Članak je bio promjenjen" w:history="1">
              <w:r w:rsidRPr="00333F1C">
                <w:rPr>
                  <w:rFonts w:ascii="Times New Roman" w:eastAsia="Times New Roman" w:hAnsi="Times New Roman"/>
                  <w:color w:val="0051A5"/>
                  <w:sz w:val="24"/>
                  <w:szCs w:val="24"/>
                  <w:lang w:eastAsia="hr-HR"/>
                </w:rPr>
                <w:t>Promjena (2)</w:t>
              </w:r>
            </w:hyperlink>
          </w:p>
          <w:p w:rsidR="00A216C8" w:rsidRPr="00853CD6" w:rsidRDefault="00A216C8" w:rsidP="00C459D2">
            <w:pPr>
              <w:spacing w:after="0" w:line="240" w:lineRule="auto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</w:pPr>
            <w:r w:rsidRPr="00853CD6"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hr-HR"/>
              </w:rPr>
              <w:t>N</w:t>
            </w:r>
          </w:p>
        </w:tc>
        <w:tc>
          <w:tcPr>
            <w:tcW w:w="9795" w:type="dxa"/>
            <w:gridSpan w:val="2"/>
            <w:shd w:val="clear" w:color="auto" w:fill="auto"/>
            <w:tcMar>
              <w:top w:w="27" w:type="dxa"/>
              <w:left w:w="54" w:type="dxa"/>
              <w:bottom w:w="27" w:type="dxa"/>
              <w:right w:w="272" w:type="dxa"/>
            </w:tcMar>
            <w:hideMark/>
          </w:tcPr>
          <w:p w:rsidR="00A216C8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Ako Općinsko vijeće</w:t>
            </w:r>
            <w:r w:rsidRPr="00853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ne donese proračun prije početka proračunske godine, privremeno se, a najduže za prva tri mjeseca proračunske godine, na osnovi odluke o privremenom financiranju, nastavlja financiranje poslova, funkcija i programa tijela jedinica lokalne i područne (regionalne) samouprave i drugih proračunskih i izvanproračunskih korisnika u skladu s posebnim zakonom.</w:t>
            </w:r>
          </w:p>
          <w:p w:rsidR="00A216C8" w:rsidRPr="00C07BC8" w:rsidRDefault="00A216C8" w:rsidP="00C459D2">
            <w:pPr>
              <w:spacing w:after="68" w:line="22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9542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522"/>
            </w:tblGrid>
            <w:tr w:rsidR="00A216C8" w:rsidRPr="00853CD6" w:rsidTr="00C459D2">
              <w:trPr>
                <w:trHeight w:val="642"/>
                <w:tblCellSpacing w:w="0" w:type="dxa"/>
              </w:trPr>
              <w:tc>
                <w:tcPr>
                  <w:tcW w:w="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16C8" w:rsidRPr="00853CD6" w:rsidRDefault="00A216C8" w:rsidP="00C459D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84848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523" w:type="dxa"/>
                  <w:shd w:val="clear" w:color="auto" w:fill="auto"/>
                  <w:tcMar>
                    <w:top w:w="27" w:type="dxa"/>
                    <w:left w:w="54" w:type="dxa"/>
                    <w:bottom w:w="27" w:type="dxa"/>
                    <w:right w:w="272" w:type="dxa"/>
                  </w:tcMar>
                  <w:hideMark/>
                </w:tcPr>
                <w:p w:rsidR="00A216C8" w:rsidRPr="00853CD6" w:rsidRDefault="00A216C8" w:rsidP="00C459D2">
                  <w:pPr>
                    <w:spacing w:after="68" w:line="221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Odluk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 xml:space="preserve">u o privremenom financiranju </w:t>
                  </w: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 xml:space="preserve"> donosi do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 xml:space="preserve"> 31. prosinca Općinsko vijeće</w:t>
                  </w: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 xml:space="preserve"> u skladu s posebnim zakonom na prijedlog općinskog načelnika ili povjerenika Vlade Republike Hrvatske.</w:t>
                  </w:r>
                </w:p>
              </w:tc>
            </w:tr>
            <w:tr w:rsidR="00A216C8" w:rsidRPr="00853CD6" w:rsidTr="00C459D2">
              <w:trPr>
                <w:trHeight w:val="1190"/>
                <w:tblCellSpacing w:w="0" w:type="dxa"/>
              </w:trPr>
              <w:tc>
                <w:tcPr>
                  <w:tcW w:w="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16C8" w:rsidRPr="00853CD6" w:rsidRDefault="00A216C8" w:rsidP="00C459D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84848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523" w:type="dxa"/>
                  <w:shd w:val="clear" w:color="auto" w:fill="auto"/>
                  <w:tcMar>
                    <w:top w:w="27" w:type="dxa"/>
                    <w:left w:w="54" w:type="dxa"/>
                    <w:bottom w:w="27" w:type="dxa"/>
                    <w:right w:w="272" w:type="dxa"/>
                  </w:tcMar>
                  <w:hideMark/>
                </w:tcPr>
                <w:p w:rsidR="00A216C8" w:rsidRPr="00853CD6" w:rsidRDefault="00A216C8" w:rsidP="00C459D2">
                  <w:pPr>
                    <w:spacing w:after="68" w:line="221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U slučaju kada je rasp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ušteno samo Općinsko vijeće</w:t>
                  </w: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, a općinski načeln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ik</w:t>
                  </w: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 xml:space="preserve"> nije razriješen, do imenovanja povjerenika Vlade Republike Hrvatske, financiranje se obavlja izvršavanjem redovnih i nužnih rashoda i izdataka temeljem odluke o financiranju nužnih rashoda i izdataka koju donosi općinski načeln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ik</w:t>
                  </w: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  <w:tr w:rsidR="00A216C8" w:rsidRPr="00853CD6" w:rsidTr="00C459D2">
              <w:trPr>
                <w:trHeight w:val="916"/>
                <w:tblCellSpacing w:w="0" w:type="dxa"/>
              </w:trPr>
              <w:tc>
                <w:tcPr>
                  <w:tcW w:w="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16C8" w:rsidRPr="00853CD6" w:rsidRDefault="00A216C8" w:rsidP="00C459D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84848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523" w:type="dxa"/>
                  <w:shd w:val="clear" w:color="auto" w:fill="auto"/>
                  <w:tcMar>
                    <w:top w:w="27" w:type="dxa"/>
                    <w:left w:w="54" w:type="dxa"/>
                    <w:bottom w:w="27" w:type="dxa"/>
                    <w:right w:w="272" w:type="dxa"/>
                  </w:tcMar>
                  <w:hideMark/>
                </w:tcPr>
                <w:p w:rsidR="00A216C8" w:rsidRPr="00853CD6" w:rsidRDefault="00A216C8" w:rsidP="00C459D2">
                  <w:pPr>
                    <w:spacing w:after="68" w:line="221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Po imenovanju povjerenika Vlade Republike Hrvatske, općinski načeln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ik</w:t>
                  </w: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 xml:space="preserve"> predlaže povjereniku novu odluku o financiranju nužnih rashoda i izdataka u koju su uključeni ostvareni prihodi i primici te izvršeni rashodi i izdaci u vremenu do dolaska povjerenika.</w:t>
                  </w:r>
                </w:p>
              </w:tc>
            </w:tr>
            <w:tr w:rsidR="00A216C8" w:rsidRPr="00853CD6" w:rsidTr="00C459D2">
              <w:trPr>
                <w:trHeight w:val="629"/>
                <w:tblCellSpacing w:w="0" w:type="dxa"/>
              </w:trPr>
              <w:tc>
                <w:tcPr>
                  <w:tcW w:w="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16C8" w:rsidRPr="00853CD6" w:rsidRDefault="00A216C8" w:rsidP="00C459D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84848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523" w:type="dxa"/>
                  <w:shd w:val="clear" w:color="auto" w:fill="auto"/>
                  <w:tcMar>
                    <w:top w:w="27" w:type="dxa"/>
                    <w:left w:w="54" w:type="dxa"/>
                    <w:bottom w:w="27" w:type="dxa"/>
                    <w:right w:w="272" w:type="dxa"/>
                  </w:tcMar>
                  <w:hideMark/>
                </w:tcPr>
                <w:p w:rsidR="00A216C8" w:rsidRPr="00853CD6" w:rsidRDefault="00A216C8" w:rsidP="00C459D2">
                  <w:pPr>
                    <w:spacing w:after="68" w:line="221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Ako se do 31. ožujka ne donese proračun, povjerenik donosi odluku o financiranju nužnih rashoda i izdataka za razdoblje do donošenja proračuna.</w:t>
                  </w:r>
                </w:p>
              </w:tc>
            </w:tr>
            <w:tr w:rsidR="00A216C8" w:rsidRPr="00853CD6" w:rsidTr="00C459D2">
              <w:trPr>
                <w:trHeight w:val="642"/>
                <w:tblCellSpacing w:w="0" w:type="dxa"/>
              </w:trPr>
              <w:tc>
                <w:tcPr>
                  <w:tcW w:w="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16C8" w:rsidRPr="00853CD6" w:rsidRDefault="00A216C8" w:rsidP="00C459D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84848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523" w:type="dxa"/>
                  <w:shd w:val="clear" w:color="auto" w:fill="auto"/>
                  <w:tcMar>
                    <w:top w:w="27" w:type="dxa"/>
                    <w:left w:w="54" w:type="dxa"/>
                    <w:bottom w:w="27" w:type="dxa"/>
                    <w:right w:w="272" w:type="dxa"/>
                  </w:tcMar>
                  <w:hideMark/>
                </w:tcPr>
                <w:p w:rsidR="00A216C8" w:rsidRPr="00853CD6" w:rsidRDefault="00A216C8" w:rsidP="00C459D2">
                  <w:pPr>
                    <w:spacing w:after="68" w:line="221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Odluka o financira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 xml:space="preserve">nju nužnih rashoda </w:t>
                  </w:r>
                  <w:r w:rsidRPr="00853C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sadržajno odgovara odluci o privremenom financiranju propisanoj posebnim zakonom, ali razmjerno razdoblju za koje se donosi.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  <w:t>“</w:t>
                  </w:r>
                </w:p>
              </w:tc>
            </w:tr>
          </w:tbl>
          <w:p w:rsidR="00A216C8" w:rsidRDefault="00A216C8" w:rsidP="00C459D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216C8" w:rsidRPr="004650E4" w:rsidRDefault="00A216C8" w:rsidP="00A216C8">
            <w:pPr>
              <w:shd w:val="clear" w:color="auto" w:fill="FFFFFF"/>
              <w:tabs>
                <w:tab w:val="left" w:pos="3630"/>
              </w:tabs>
              <w:ind w:left="-162" w:firstLine="162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  <w:t xml:space="preserve">    Članak 3</w:t>
            </w:r>
            <w:r w:rsidRPr="0036542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:rsidR="00A216C8" w:rsidRPr="009B1BCE" w:rsidRDefault="00A216C8" w:rsidP="00C459D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Ova </w:t>
            </w:r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Odluka stupa na snagu osmog dana od dana objave u Glasniku, službenom glasilu Općine Baška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Voda.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KLASA:021-05/18-01/</w:t>
            </w:r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  <w:proofErr w:type="spellStart"/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UR.BROJ</w:t>
            </w:r>
            <w:proofErr w:type="spellEnd"/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: 214/02-01-18/1</w:t>
            </w:r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Baška Voda, . travnja  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> </w:t>
            </w:r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  <w:t xml:space="preserve">                                                                     Predsjednik Općinskog vijeća</w:t>
            </w:r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br/>
            </w:r>
          </w:p>
          <w:p w:rsidR="00A216C8" w:rsidRPr="009B1BCE" w:rsidRDefault="00A216C8" w:rsidP="00C459D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B1B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Ante Lončar</w:t>
            </w:r>
          </w:p>
          <w:p w:rsidR="00A216C8" w:rsidRDefault="00A216C8" w:rsidP="00C459D2"/>
          <w:p w:rsidR="00A216C8" w:rsidRPr="00C07BC8" w:rsidRDefault="00A216C8" w:rsidP="00C459D2">
            <w:pPr>
              <w:tabs>
                <w:tab w:val="left" w:pos="1413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A216C8" w:rsidRDefault="00A216C8" w:rsidP="00A216C8">
      <w:pPr>
        <w:shd w:val="clear" w:color="auto" w:fill="FFFFFF"/>
        <w:spacing w:after="0" w:line="240" w:lineRule="auto"/>
      </w:pPr>
    </w:p>
    <w:p w:rsidR="00E072C5" w:rsidRDefault="00E072C5"/>
    <w:sectPr w:rsidR="00E072C5" w:rsidSect="00C3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C8"/>
    <w:rsid w:val="00A216C8"/>
    <w:rsid w:val="00E0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C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C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usinfo.hr/Laws/Comparison.aspx?Sopi=ZA2001B33A569&amp;Datum=13.12.2017%2000:00:00&amp;Clen=C70/O/T/A&amp;Id=21298" TargetMode="External"/><Relationship Id="rId5" Type="http://schemas.openxmlformats.org/officeDocument/2006/relationships/hyperlink" Target="http://www.iusinfo.hr/Laws/Links.aspx?SOPI=ZA2001B33A569&amp;Tip=UPRS&amp;Datum=13.12.2017.%200:00:00&amp;Clen=C70/O/T/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PROCEL. IVANA</dc:creator>
  <cp:lastModifiedBy>PROCEL. IVANA</cp:lastModifiedBy>
  <cp:revision>1</cp:revision>
  <cp:lastPrinted>2018-04-20T07:23:00Z</cp:lastPrinted>
  <dcterms:created xsi:type="dcterms:W3CDTF">2018-04-20T07:19:00Z</dcterms:created>
  <dcterms:modified xsi:type="dcterms:W3CDTF">2018-04-20T07:27:00Z</dcterms:modified>
</cp:coreProperties>
</file>